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2" w:rsidRPr="00355FA2" w:rsidRDefault="00355FA2" w:rsidP="00355FA2">
      <w:pPr>
        <w:spacing w:line="360" w:lineRule="exact"/>
        <w:jc w:val="center"/>
        <w:rPr>
          <w:rFonts w:ascii="宋体" w:hAnsi="宋体"/>
          <w:bCs/>
          <w:iCs/>
          <w:szCs w:val="21"/>
        </w:rPr>
      </w:pPr>
      <w:r w:rsidRPr="00355FA2">
        <w:rPr>
          <w:rFonts w:ascii="宋体" w:hAnsi="宋体" w:hint="eastAsia"/>
          <w:bCs/>
          <w:iCs/>
          <w:szCs w:val="21"/>
        </w:rPr>
        <w:t>证券代码：002022                                证券简称：科华生物</w:t>
      </w:r>
    </w:p>
    <w:p w:rsidR="00355FA2" w:rsidRDefault="00355FA2" w:rsidP="006F5716">
      <w:pPr>
        <w:spacing w:before="100" w:beforeAutospacing="1" w:afterLines="50" w:after="156" w:line="400" w:lineRule="exact"/>
        <w:jc w:val="center"/>
        <w:rPr>
          <w:rFonts w:ascii="宋体" w:hAnsi="宋体"/>
          <w:b/>
          <w:bCs/>
          <w:iCs/>
          <w:sz w:val="30"/>
          <w:szCs w:val="30"/>
        </w:rPr>
      </w:pPr>
      <w:r>
        <w:rPr>
          <w:rFonts w:ascii="宋体" w:hAnsi="宋体" w:hint="eastAsia"/>
          <w:b/>
          <w:bCs/>
          <w:iCs/>
          <w:sz w:val="30"/>
          <w:szCs w:val="30"/>
        </w:rPr>
        <w:t>上海科华生物工程</w:t>
      </w:r>
      <w:r w:rsidRPr="00355FA2">
        <w:rPr>
          <w:rFonts w:ascii="宋体" w:hAnsi="宋体" w:hint="eastAsia"/>
          <w:b/>
          <w:bCs/>
          <w:iCs/>
          <w:sz w:val="30"/>
          <w:szCs w:val="30"/>
        </w:rPr>
        <w:t>股份有限公司</w:t>
      </w:r>
    </w:p>
    <w:p w:rsidR="00355FA2" w:rsidRPr="00355FA2" w:rsidRDefault="00355FA2" w:rsidP="006F5716">
      <w:pPr>
        <w:spacing w:beforeLines="50" w:before="156" w:afterLines="50" w:after="156" w:line="400" w:lineRule="exact"/>
        <w:jc w:val="center"/>
        <w:rPr>
          <w:rFonts w:ascii="宋体" w:hAnsi="宋体"/>
          <w:b/>
          <w:bCs/>
          <w:iCs/>
          <w:sz w:val="30"/>
          <w:szCs w:val="30"/>
        </w:rPr>
      </w:pPr>
      <w:r w:rsidRPr="00355FA2">
        <w:rPr>
          <w:rFonts w:ascii="宋体" w:hAnsi="宋体" w:hint="eastAsia"/>
          <w:b/>
          <w:bCs/>
          <w:iCs/>
          <w:sz w:val="30"/>
          <w:szCs w:val="30"/>
        </w:rPr>
        <w:t>投资者关系活动记录表</w:t>
      </w:r>
    </w:p>
    <w:p w:rsidR="00355FA2" w:rsidRPr="00F7661A" w:rsidRDefault="00355FA2" w:rsidP="00355FA2">
      <w:pPr>
        <w:spacing w:line="400" w:lineRule="exact"/>
        <w:rPr>
          <w:rFonts w:ascii="宋体" w:hAnsi="宋体"/>
          <w:bCs/>
          <w:iCs/>
          <w:sz w:val="24"/>
          <w:szCs w:val="24"/>
        </w:rPr>
      </w:pPr>
      <w:r w:rsidRPr="00F7661A">
        <w:rPr>
          <w:rFonts w:ascii="宋体" w:hAnsi="宋体" w:hint="eastAsia"/>
          <w:bCs/>
          <w:iCs/>
          <w:sz w:val="24"/>
          <w:szCs w:val="24"/>
        </w:rPr>
        <w:t xml:space="preserve">                                                      编号：</w:t>
      </w:r>
      <w:r w:rsidR="00B729E8">
        <w:rPr>
          <w:rFonts w:ascii="宋体" w:hAnsi="宋体" w:hint="eastAsia"/>
          <w:bCs/>
          <w:iCs/>
          <w:sz w:val="24"/>
          <w:szCs w:val="24"/>
        </w:rPr>
        <w:t>201500</w:t>
      </w:r>
      <w:r w:rsidR="00925C3C">
        <w:rPr>
          <w:rFonts w:ascii="宋体" w:hAnsi="宋体" w:hint="eastAsia"/>
          <w:bCs/>
          <w:iCs/>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355FA2" w:rsidRPr="00F7661A" w:rsidRDefault="00355FA2" w:rsidP="003F1135">
            <w:pPr>
              <w:spacing w:line="480" w:lineRule="atLeast"/>
              <w:rPr>
                <w:rFonts w:ascii="宋体" w:hAnsi="宋体"/>
                <w:b/>
                <w:bCs/>
                <w:iCs/>
                <w:sz w:val="24"/>
                <w:szCs w:val="24"/>
              </w:rPr>
            </w:pPr>
          </w:p>
        </w:tc>
        <w:tc>
          <w:tcPr>
            <w:tcW w:w="6614" w:type="dxa"/>
            <w:shd w:val="clear" w:color="auto" w:fill="auto"/>
          </w:tcPr>
          <w:p w:rsidR="00355FA2" w:rsidRPr="006D390A" w:rsidRDefault="00FB19C0" w:rsidP="006D390A">
            <w:pPr>
              <w:spacing w:line="360" w:lineRule="atLeast"/>
              <w:rPr>
                <w:rFonts w:ascii="宋体" w:hAnsi="宋体"/>
                <w:bCs/>
                <w:iCs/>
                <w:szCs w:val="21"/>
              </w:rPr>
            </w:pPr>
            <w:r w:rsidRPr="006D390A">
              <w:rPr>
                <w:rFonts w:ascii="宋体" w:hAnsi="宋体" w:hint="eastAsia"/>
                <w:bCs/>
                <w:iCs/>
                <w:szCs w:val="21"/>
              </w:rPr>
              <w:t>□</w:t>
            </w:r>
            <w:r w:rsidR="00355FA2" w:rsidRPr="006D390A">
              <w:rPr>
                <w:rFonts w:ascii="宋体" w:hAnsi="宋体" w:hint="eastAsia"/>
                <w:szCs w:val="21"/>
              </w:rPr>
              <w:t xml:space="preserve">特定对象调研        </w:t>
            </w:r>
            <w:r w:rsidR="00355FA2" w:rsidRPr="006D390A">
              <w:rPr>
                <w:rFonts w:ascii="宋体" w:hAnsi="宋体" w:hint="eastAsia"/>
                <w:bCs/>
                <w:iCs/>
                <w:szCs w:val="21"/>
              </w:rPr>
              <w:t>□</w:t>
            </w:r>
            <w:r w:rsidR="00355FA2" w:rsidRPr="006D390A">
              <w:rPr>
                <w:rFonts w:ascii="宋体" w:hAnsi="宋体" w:hint="eastAsia"/>
                <w:szCs w:val="21"/>
              </w:rPr>
              <w:t>分析师会议</w:t>
            </w:r>
          </w:p>
          <w:p w:rsidR="00355FA2" w:rsidRPr="006D390A" w:rsidRDefault="00355FA2" w:rsidP="006D390A">
            <w:pPr>
              <w:spacing w:line="360" w:lineRule="atLeast"/>
              <w:rPr>
                <w:rFonts w:ascii="宋体" w:hAnsi="宋体"/>
                <w:bCs/>
                <w:iCs/>
                <w:szCs w:val="21"/>
              </w:rPr>
            </w:pPr>
            <w:r w:rsidRPr="006D390A">
              <w:rPr>
                <w:rFonts w:ascii="宋体" w:hAnsi="宋体" w:hint="eastAsia"/>
                <w:bCs/>
                <w:iCs/>
                <w:szCs w:val="21"/>
              </w:rPr>
              <w:t>□</w:t>
            </w:r>
            <w:r w:rsidRPr="006D390A">
              <w:rPr>
                <w:rFonts w:ascii="宋体" w:hAnsi="宋体" w:hint="eastAsia"/>
                <w:szCs w:val="21"/>
              </w:rPr>
              <w:t xml:space="preserve">媒体采访            </w:t>
            </w:r>
            <w:r w:rsidRPr="006D390A">
              <w:rPr>
                <w:rFonts w:ascii="宋体" w:hAnsi="宋体" w:hint="eastAsia"/>
                <w:bCs/>
                <w:iCs/>
                <w:szCs w:val="21"/>
              </w:rPr>
              <w:t>□</w:t>
            </w:r>
            <w:r w:rsidRPr="006D390A">
              <w:rPr>
                <w:rFonts w:ascii="宋体" w:hAnsi="宋体" w:hint="eastAsia"/>
                <w:szCs w:val="21"/>
              </w:rPr>
              <w:t>业绩说明会</w:t>
            </w:r>
          </w:p>
          <w:p w:rsidR="00355FA2" w:rsidRPr="006D390A" w:rsidRDefault="00355FA2" w:rsidP="006D390A">
            <w:pPr>
              <w:spacing w:line="360" w:lineRule="atLeast"/>
              <w:rPr>
                <w:rFonts w:ascii="宋体" w:hAnsi="宋体"/>
                <w:bCs/>
                <w:iCs/>
                <w:szCs w:val="21"/>
              </w:rPr>
            </w:pPr>
            <w:r w:rsidRPr="006D390A">
              <w:rPr>
                <w:rFonts w:ascii="宋体" w:hAnsi="宋体" w:hint="eastAsia"/>
                <w:bCs/>
                <w:iCs/>
                <w:szCs w:val="21"/>
              </w:rPr>
              <w:t>□</w:t>
            </w:r>
            <w:r w:rsidRPr="006D390A">
              <w:rPr>
                <w:rFonts w:ascii="宋体" w:hAnsi="宋体" w:hint="eastAsia"/>
                <w:szCs w:val="21"/>
              </w:rPr>
              <w:t xml:space="preserve">新闻发布会          </w:t>
            </w:r>
            <w:r w:rsidRPr="006D390A">
              <w:rPr>
                <w:rFonts w:ascii="宋体" w:hAnsi="宋体" w:hint="eastAsia"/>
                <w:bCs/>
                <w:iCs/>
                <w:szCs w:val="21"/>
              </w:rPr>
              <w:t>□</w:t>
            </w:r>
            <w:r w:rsidRPr="006D390A">
              <w:rPr>
                <w:rFonts w:ascii="宋体" w:hAnsi="宋体" w:hint="eastAsia"/>
                <w:szCs w:val="21"/>
              </w:rPr>
              <w:t>路演活动</w:t>
            </w:r>
          </w:p>
          <w:p w:rsidR="00355FA2" w:rsidRPr="006D390A" w:rsidRDefault="00355FA2" w:rsidP="006D390A">
            <w:pPr>
              <w:tabs>
                <w:tab w:val="left" w:pos="3045"/>
                <w:tab w:val="center" w:pos="3199"/>
              </w:tabs>
              <w:spacing w:line="360" w:lineRule="atLeast"/>
              <w:rPr>
                <w:rFonts w:ascii="宋体" w:hAnsi="宋体"/>
                <w:bCs/>
                <w:iCs/>
                <w:szCs w:val="21"/>
              </w:rPr>
            </w:pPr>
            <w:r w:rsidRPr="006D390A">
              <w:rPr>
                <w:rFonts w:ascii="宋体" w:hAnsi="宋体" w:hint="eastAsia"/>
                <w:bCs/>
                <w:iCs/>
                <w:szCs w:val="21"/>
              </w:rPr>
              <w:t>□</w:t>
            </w:r>
            <w:r w:rsidRPr="006D390A">
              <w:rPr>
                <w:rFonts w:ascii="宋体" w:hAnsi="宋体" w:hint="eastAsia"/>
                <w:szCs w:val="21"/>
              </w:rPr>
              <w:t>现场参观</w:t>
            </w:r>
            <w:r w:rsidRPr="006D390A">
              <w:rPr>
                <w:rFonts w:ascii="宋体" w:hAnsi="宋体"/>
                <w:bCs/>
                <w:iCs/>
                <w:szCs w:val="21"/>
              </w:rPr>
              <w:tab/>
            </w:r>
          </w:p>
          <w:p w:rsidR="00355FA2" w:rsidRPr="006D390A" w:rsidRDefault="00FB19C0" w:rsidP="00FB19C0">
            <w:pPr>
              <w:tabs>
                <w:tab w:val="center" w:pos="3199"/>
              </w:tabs>
              <w:spacing w:line="360" w:lineRule="atLeast"/>
              <w:rPr>
                <w:rFonts w:ascii="宋体" w:hAnsi="宋体"/>
                <w:bCs/>
                <w:iCs/>
                <w:szCs w:val="21"/>
              </w:rPr>
            </w:pPr>
            <w:r w:rsidRPr="006D390A">
              <w:rPr>
                <w:rFonts w:ascii="宋体" w:hAnsi="宋体" w:hint="eastAsia"/>
                <w:bCs/>
                <w:iCs/>
                <w:szCs w:val="21"/>
              </w:rPr>
              <w:sym w:font="Wingdings 2" w:char="F052"/>
            </w:r>
            <w:r w:rsidR="00355FA2" w:rsidRPr="006D390A">
              <w:rPr>
                <w:rFonts w:ascii="宋体" w:hAnsi="宋体" w:hint="eastAsia"/>
                <w:szCs w:val="21"/>
              </w:rPr>
              <w:t>其他</w:t>
            </w:r>
            <w:r>
              <w:rPr>
                <w:rFonts w:ascii="宋体" w:hAnsi="宋体" w:hint="eastAsia"/>
                <w:szCs w:val="21"/>
              </w:rPr>
              <w:t>:电话会议</w:t>
            </w:r>
          </w:p>
        </w:tc>
      </w:tr>
      <w:tr w:rsidR="00355FA2" w:rsidRPr="005317DC"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355FA2" w:rsidRPr="006D390A" w:rsidRDefault="003A78BA" w:rsidP="00B729E8">
            <w:pPr>
              <w:spacing w:line="360" w:lineRule="exact"/>
              <w:rPr>
                <w:rFonts w:ascii="宋体" w:hAnsi="宋体"/>
                <w:bCs/>
                <w:iCs/>
                <w:szCs w:val="21"/>
              </w:rPr>
            </w:pPr>
            <w:r>
              <w:rPr>
                <w:rFonts w:hint="eastAsia"/>
              </w:rPr>
              <w:t>万家基金、三峡资本、上海原点资产、上海德意汇</w:t>
            </w:r>
            <w:proofErr w:type="gramStart"/>
            <w:r>
              <w:rPr>
                <w:rFonts w:hint="eastAsia"/>
              </w:rPr>
              <w:t>鑫</w:t>
            </w:r>
            <w:proofErr w:type="gramEnd"/>
            <w:r>
              <w:rPr>
                <w:rFonts w:hint="eastAsia"/>
              </w:rPr>
              <w:t>基金、</w:t>
            </w:r>
            <w:proofErr w:type="gramStart"/>
            <w:r>
              <w:rPr>
                <w:rFonts w:hint="eastAsia"/>
              </w:rPr>
              <w:t>上海德溢慧心</w:t>
            </w:r>
            <w:proofErr w:type="gramEnd"/>
            <w:r>
              <w:rPr>
                <w:rFonts w:hint="eastAsia"/>
              </w:rPr>
              <w:t>股权投资有限公司、上海汇利资产、上海滚石投资、上海潭兴金融有限公司、东北证券、东吴证券、东大资产、东方基金、东方证券资产管理公司、东营国际、中信证券、中加基金、中欧基金、中胜投资、中金公司、中银国际证券、交银康联保险、交银施罗德基金、优势资本、</w:t>
            </w:r>
            <w:proofErr w:type="gramStart"/>
            <w:r>
              <w:rPr>
                <w:rFonts w:hint="eastAsia"/>
              </w:rPr>
              <w:t>保腾创</w:t>
            </w:r>
            <w:proofErr w:type="gramEnd"/>
            <w:r>
              <w:rPr>
                <w:rFonts w:hint="eastAsia"/>
              </w:rPr>
              <w:t>投、光大保德信基金、兴业基金、兴业证券、前海人寿、</w:t>
            </w:r>
            <w:proofErr w:type="gramStart"/>
            <w:r>
              <w:rPr>
                <w:rFonts w:hint="eastAsia"/>
              </w:rPr>
              <w:t>前海旗隆基金</w:t>
            </w:r>
            <w:proofErr w:type="gramEnd"/>
            <w:r>
              <w:rPr>
                <w:rFonts w:hint="eastAsia"/>
              </w:rPr>
              <w:t>、华创证券、华商基金、华夏基金、华夏财富、华泰证券、华泰资管、华邦投资、南京证券、博恩资产、博时基金、厦门财富管理有限公司、合</w:t>
            </w:r>
            <w:proofErr w:type="gramStart"/>
            <w:r>
              <w:rPr>
                <w:rFonts w:hint="eastAsia"/>
              </w:rPr>
              <w:t>懿</w:t>
            </w:r>
            <w:proofErr w:type="gramEnd"/>
            <w:r>
              <w:rPr>
                <w:rFonts w:hint="eastAsia"/>
              </w:rPr>
              <w:t>投资、嘉实基金、四川信托、国信证券、国海证券、大成基金、太平资产、奕慧投资、奕金安投资、奥博资本、奥博资本亚洲</w:t>
            </w:r>
            <w:r>
              <w:rPr>
                <w:rFonts w:hint="eastAsia"/>
              </w:rPr>
              <w:t>(</w:t>
            </w:r>
            <w:proofErr w:type="spellStart"/>
            <w:r>
              <w:rPr>
                <w:rFonts w:hint="eastAsia"/>
              </w:rPr>
              <w:t>OrbiMed</w:t>
            </w:r>
            <w:proofErr w:type="spellEnd"/>
            <w:r>
              <w:rPr>
                <w:rFonts w:hint="eastAsia"/>
              </w:rPr>
              <w:t xml:space="preserve"> Asia)</w:t>
            </w:r>
            <w:r>
              <w:rPr>
                <w:rFonts w:hint="eastAsia"/>
              </w:rPr>
              <w:t>、安邦资管、宏道投资、富安达基金、富敦投资、尚诚资产、岳瀚资产管理、开源证券、德</w:t>
            </w:r>
            <w:proofErr w:type="gramStart"/>
            <w:r>
              <w:rPr>
                <w:rFonts w:hint="eastAsia"/>
              </w:rPr>
              <w:t>沣</w:t>
            </w:r>
            <w:proofErr w:type="gramEnd"/>
            <w:r>
              <w:rPr>
                <w:rFonts w:hint="eastAsia"/>
              </w:rPr>
              <w:t>资产、恒基投资、恒基投资、</w:t>
            </w:r>
            <w:proofErr w:type="gramStart"/>
            <w:r>
              <w:rPr>
                <w:rFonts w:hint="eastAsia"/>
              </w:rPr>
              <w:t>敦</w:t>
            </w:r>
            <w:proofErr w:type="gramEnd"/>
            <w:r>
              <w:rPr>
                <w:rFonts w:hint="eastAsia"/>
              </w:rPr>
              <w:t>和资产、</w:t>
            </w:r>
            <w:proofErr w:type="gramStart"/>
            <w:r>
              <w:rPr>
                <w:rFonts w:hint="eastAsia"/>
              </w:rPr>
              <w:t>新华汇嘉私募</w:t>
            </w:r>
            <w:proofErr w:type="gramEnd"/>
            <w:r>
              <w:rPr>
                <w:rFonts w:hint="eastAsia"/>
              </w:rPr>
              <w:t>基金、新华资产、新锐投资、新韩法巴资产管理、</w:t>
            </w:r>
            <w:proofErr w:type="gramStart"/>
            <w:r>
              <w:rPr>
                <w:rFonts w:hint="eastAsia"/>
              </w:rPr>
              <w:t>明尚投资</w:t>
            </w:r>
            <w:proofErr w:type="gramEnd"/>
            <w:r>
              <w:rPr>
                <w:rFonts w:hint="eastAsia"/>
              </w:rPr>
              <w:t>、明耀投资、普</w:t>
            </w:r>
            <w:proofErr w:type="gramStart"/>
            <w:r>
              <w:rPr>
                <w:rFonts w:hint="eastAsia"/>
              </w:rPr>
              <w:t>邦</w:t>
            </w:r>
            <w:proofErr w:type="gramEnd"/>
            <w:r>
              <w:rPr>
                <w:rFonts w:hint="eastAsia"/>
              </w:rPr>
              <w:t>恒生投资有限公司、朱雀投资、杭州德亚投资、汇桥资本、汇融丰资产管理、汉和资本、泽</w:t>
            </w:r>
            <w:proofErr w:type="gramStart"/>
            <w:r>
              <w:rPr>
                <w:rFonts w:hint="eastAsia"/>
              </w:rPr>
              <w:t>鑫</w:t>
            </w:r>
            <w:proofErr w:type="gramEnd"/>
            <w:r>
              <w:rPr>
                <w:rFonts w:hint="eastAsia"/>
              </w:rPr>
              <w:t>投资、海通证券、淡水泉投资、</w:t>
            </w:r>
            <w:proofErr w:type="gramStart"/>
            <w:r>
              <w:rPr>
                <w:rFonts w:hint="eastAsia"/>
              </w:rPr>
              <w:t>深圳裕晋投资</w:t>
            </w:r>
            <w:proofErr w:type="gramEnd"/>
            <w:r>
              <w:rPr>
                <w:rFonts w:hint="eastAsia"/>
              </w:rPr>
              <w:t>、</w:t>
            </w:r>
            <w:proofErr w:type="gramStart"/>
            <w:r>
              <w:rPr>
                <w:rFonts w:hint="eastAsia"/>
              </w:rPr>
              <w:t>溪牛投资</w:t>
            </w:r>
            <w:proofErr w:type="gramEnd"/>
            <w:r>
              <w:rPr>
                <w:rFonts w:hint="eastAsia"/>
              </w:rPr>
              <w:t>、猛犸资产、瑞信投资、</w:t>
            </w:r>
            <w:proofErr w:type="gramStart"/>
            <w:r>
              <w:rPr>
                <w:rFonts w:hint="eastAsia"/>
              </w:rPr>
              <w:t>瑞锐投资</w:t>
            </w:r>
            <w:proofErr w:type="gramEnd"/>
            <w:r>
              <w:rPr>
                <w:rFonts w:hint="eastAsia"/>
              </w:rPr>
              <w:t>、申万宏源、百益资本、</w:t>
            </w:r>
            <w:proofErr w:type="gramStart"/>
            <w:r>
              <w:rPr>
                <w:rFonts w:hint="eastAsia"/>
              </w:rPr>
              <w:t>睿</w:t>
            </w:r>
            <w:proofErr w:type="gramEnd"/>
            <w:r>
              <w:rPr>
                <w:rFonts w:hint="eastAsia"/>
              </w:rPr>
              <w:t>泉资本、</w:t>
            </w:r>
            <w:proofErr w:type="gramStart"/>
            <w:r>
              <w:rPr>
                <w:rFonts w:hint="eastAsia"/>
              </w:rPr>
              <w:t>禾永投资</w:t>
            </w:r>
            <w:proofErr w:type="gramEnd"/>
            <w:r>
              <w:rPr>
                <w:rFonts w:hint="eastAsia"/>
              </w:rPr>
              <w:t>、稻草人投资、美康生物、英大基金、财通证券、远见者投资、重阳投资、金元证券、金百镕投资、银沙投资、长信资产、长安基金、长盛基金、阳光保险资产、高临资本、鼎天投资、齐鲁证券</w:t>
            </w:r>
            <w:r w:rsidR="005317DC">
              <w:rPr>
                <w:rFonts w:ascii="宋体" w:hAnsi="宋体" w:hint="eastAsia"/>
                <w:bCs/>
                <w:iCs/>
                <w:szCs w:val="21"/>
              </w:rPr>
              <w:t>等</w:t>
            </w:r>
            <w:r w:rsidR="00B729E8">
              <w:rPr>
                <w:rFonts w:ascii="宋体" w:hAnsi="宋体" w:hint="eastAsia"/>
                <w:bCs/>
                <w:iCs/>
                <w:szCs w:val="21"/>
              </w:rPr>
              <w:t>相关人员</w:t>
            </w:r>
          </w:p>
        </w:tc>
      </w:tr>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355FA2" w:rsidRPr="006D390A" w:rsidRDefault="00CC3923" w:rsidP="00CC3923">
            <w:pPr>
              <w:spacing w:line="480" w:lineRule="atLeast"/>
              <w:rPr>
                <w:rFonts w:ascii="宋体" w:hAnsi="宋体"/>
                <w:bCs/>
                <w:iCs/>
                <w:szCs w:val="21"/>
              </w:rPr>
            </w:pPr>
            <w:r w:rsidRPr="006D390A">
              <w:rPr>
                <w:rFonts w:ascii="宋体" w:hAnsi="宋体" w:hint="eastAsia"/>
                <w:bCs/>
                <w:iCs/>
                <w:szCs w:val="21"/>
              </w:rPr>
              <w:t>2015年</w:t>
            </w:r>
            <w:r>
              <w:rPr>
                <w:rFonts w:ascii="宋体" w:hAnsi="宋体" w:hint="eastAsia"/>
                <w:bCs/>
                <w:iCs/>
                <w:szCs w:val="21"/>
              </w:rPr>
              <w:t>10</w:t>
            </w:r>
            <w:r w:rsidR="006D390A" w:rsidRPr="006D390A">
              <w:rPr>
                <w:rFonts w:ascii="宋体" w:hAnsi="宋体" w:hint="eastAsia"/>
                <w:bCs/>
                <w:iCs/>
                <w:szCs w:val="21"/>
              </w:rPr>
              <w:t>月</w:t>
            </w:r>
            <w:r>
              <w:rPr>
                <w:rFonts w:ascii="宋体" w:hAnsi="宋体" w:hint="eastAsia"/>
                <w:bCs/>
                <w:iCs/>
                <w:szCs w:val="21"/>
              </w:rPr>
              <w:t>30</w:t>
            </w:r>
            <w:r w:rsidR="006D390A" w:rsidRPr="006D390A">
              <w:rPr>
                <w:rFonts w:ascii="宋体" w:hAnsi="宋体" w:hint="eastAsia"/>
                <w:bCs/>
                <w:iCs/>
                <w:szCs w:val="21"/>
              </w:rPr>
              <w:t>日</w:t>
            </w:r>
            <w:r w:rsidRPr="006D390A">
              <w:rPr>
                <w:rFonts w:ascii="宋体" w:hAnsi="宋体" w:hint="eastAsia"/>
                <w:bCs/>
                <w:iCs/>
                <w:szCs w:val="21"/>
              </w:rPr>
              <w:t>1</w:t>
            </w:r>
            <w:r>
              <w:rPr>
                <w:rFonts w:ascii="宋体" w:hAnsi="宋体" w:hint="eastAsia"/>
                <w:bCs/>
                <w:iCs/>
                <w:szCs w:val="21"/>
              </w:rPr>
              <w:t>0</w:t>
            </w:r>
            <w:r w:rsidR="006D390A" w:rsidRPr="006D390A">
              <w:rPr>
                <w:rFonts w:ascii="宋体" w:hAnsi="宋体" w:hint="eastAsia"/>
                <w:bCs/>
                <w:iCs/>
                <w:szCs w:val="21"/>
              </w:rPr>
              <w:t>:00—</w:t>
            </w:r>
            <w:r w:rsidRPr="006D390A">
              <w:rPr>
                <w:rFonts w:ascii="宋体" w:hAnsi="宋体" w:hint="eastAsia"/>
                <w:bCs/>
                <w:iCs/>
                <w:szCs w:val="21"/>
              </w:rPr>
              <w:t>1</w:t>
            </w:r>
            <w:r>
              <w:rPr>
                <w:rFonts w:ascii="宋体" w:hAnsi="宋体" w:hint="eastAsia"/>
                <w:bCs/>
                <w:iCs/>
                <w:szCs w:val="21"/>
              </w:rPr>
              <w:t>1</w:t>
            </w:r>
            <w:r w:rsidR="006D390A" w:rsidRPr="006D390A">
              <w:rPr>
                <w:rFonts w:ascii="宋体" w:hAnsi="宋体" w:hint="eastAsia"/>
                <w:bCs/>
                <w:iCs/>
                <w:szCs w:val="21"/>
              </w:rPr>
              <w:t>:</w:t>
            </w:r>
            <w:r w:rsidR="00FB19C0">
              <w:rPr>
                <w:rFonts w:ascii="宋体" w:hAnsi="宋体" w:hint="eastAsia"/>
                <w:bCs/>
                <w:iCs/>
                <w:szCs w:val="21"/>
              </w:rPr>
              <w:t>0</w:t>
            </w:r>
            <w:r w:rsidR="006D390A" w:rsidRPr="006D390A">
              <w:rPr>
                <w:rFonts w:ascii="宋体" w:hAnsi="宋体" w:hint="eastAsia"/>
                <w:bCs/>
                <w:iCs/>
                <w:szCs w:val="21"/>
              </w:rPr>
              <w:t>0</w:t>
            </w:r>
          </w:p>
        </w:tc>
      </w:tr>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tcPr>
          <w:p w:rsidR="00355FA2" w:rsidRPr="006D390A" w:rsidRDefault="00FB19C0" w:rsidP="003F1135">
            <w:pPr>
              <w:spacing w:line="480" w:lineRule="atLeast"/>
              <w:rPr>
                <w:rFonts w:ascii="宋体" w:hAnsi="宋体"/>
                <w:bCs/>
                <w:iCs/>
                <w:szCs w:val="21"/>
              </w:rPr>
            </w:pPr>
            <w:r>
              <w:rPr>
                <w:rFonts w:ascii="宋体" w:hAnsi="宋体" w:hint="eastAsia"/>
                <w:bCs/>
                <w:iCs/>
                <w:szCs w:val="21"/>
              </w:rPr>
              <w:t>——</w:t>
            </w:r>
          </w:p>
        </w:tc>
      </w:tr>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tcPr>
          <w:p w:rsidR="00355FA2" w:rsidRPr="006D390A" w:rsidRDefault="006D390A" w:rsidP="005317DC">
            <w:pPr>
              <w:spacing w:line="480" w:lineRule="atLeast"/>
              <w:rPr>
                <w:rFonts w:ascii="宋体" w:hAnsi="宋体"/>
                <w:bCs/>
                <w:iCs/>
                <w:szCs w:val="21"/>
              </w:rPr>
            </w:pPr>
            <w:r w:rsidRPr="006D390A">
              <w:rPr>
                <w:rFonts w:ascii="宋体" w:hAnsi="宋体" w:hint="eastAsia"/>
                <w:bCs/>
                <w:iCs/>
                <w:szCs w:val="21"/>
              </w:rPr>
              <w:t>公司</w:t>
            </w:r>
            <w:r w:rsidR="00B729E8">
              <w:rPr>
                <w:rFonts w:ascii="宋体" w:hAnsi="宋体" w:hint="eastAsia"/>
                <w:bCs/>
                <w:iCs/>
                <w:szCs w:val="21"/>
              </w:rPr>
              <w:t>总经理金肖东、</w:t>
            </w:r>
            <w:r w:rsidRPr="006D390A">
              <w:rPr>
                <w:rFonts w:ascii="宋体" w:hAnsi="宋体" w:hint="eastAsia"/>
                <w:bCs/>
                <w:iCs/>
                <w:szCs w:val="21"/>
              </w:rPr>
              <w:t>董事会秘书王锡林</w:t>
            </w:r>
            <w:r w:rsidR="00B729E8">
              <w:rPr>
                <w:rFonts w:ascii="宋体" w:hAnsi="宋体" w:hint="eastAsia"/>
                <w:bCs/>
                <w:iCs/>
                <w:szCs w:val="21"/>
              </w:rPr>
              <w:t>、财务部经理王国其、证券事务代表宋钰锟</w:t>
            </w:r>
          </w:p>
        </w:tc>
      </w:tr>
      <w:tr w:rsidR="00355FA2" w:rsidRPr="00F7661A" w:rsidTr="003F1135">
        <w:trPr>
          <w:trHeight w:val="1757"/>
        </w:trPr>
        <w:tc>
          <w:tcPr>
            <w:tcW w:w="1908" w:type="dxa"/>
            <w:shd w:val="clear" w:color="auto" w:fill="auto"/>
            <w:vAlign w:val="center"/>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lastRenderedPageBreak/>
              <w:t>投资者关系活动主要内容介绍</w:t>
            </w:r>
          </w:p>
          <w:p w:rsidR="00355FA2" w:rsidRPr="00F7661A" w:rsidRDefault="00355FA2" w:rsidP="003F1135">
            <w:pPr>
              <w:spacing w:line="480" w:lineRule="atLeast"/>
              <w:rPr>
                <w:rFonts w:ascii="宋体" w:hAnsi="宋体"/>
                <w:b/>
                <w:bCs/>
                <w:iCs/>
                <w:sz w:val="24"/>
                <w:szCs w:val="24"/>
              </w:rPr>
            </w:pPr>
          </w:p>
        </w:tc>
        <w:tc>
          <w:tcPr>
            <w:tcW w:w="6614" w:type="dxa"/>
            <w:shd w:val="clear" w:color="auto" w:fill="auto"/>
          </w:tcPr>
          <w:p w:rsidR="00FB19C0" w:rsidRPr="00FB19C0" w:rsidRDefault="00FB19C0" w:rsidP="00FB19C0">
            <w:pPr>
              <w:spacing w:line="400" w:lineRule="atLeast"/>
              <w:rPr>
                <w:rFonts w:ascii="宋体" w:hAnsi="宋体"/>
                <w:bCs/>
                <w:iCs/>
                <w:szCs w:val="21"/>
              </w:rPr>
            </w:pPr>
            <w:r w:rsidRPr="00FB19C0">
              <w:rPr>
                <w:rFonts w:ascii="宋体" w:hAnsi="宋体" w:hint="eastAsia"/>
                <w:bCs/>
                <w:iCs/>
                <w:szCs w:val="21"/>
              </w:rPr>
              <w:t>交流纪要</w:t>
            </w:r>
            <w:r>
              <w:rPr>
                <w:rFonts w:ascii="宋体" w:hAnsi="宋体" w:hint="eastAsia"/>
                <w:bCs/>
                <w:iCs/>
                <w:szCs w:val="21"/>
              </w:rPr>
              <w:t>：</w:t>
            </w:r>
          </w:p>
          <w:p w:rsidR="002619E5" w:rsidRPr="002619E5" w:rsidRDefault="002619E5" w:rsidP="002619E5">
            <w:pPr>
              <w:spacing w:line="400" w:lineRule="atLeast"/>
              <w:ind w:firstLineChars="200" w:firstLine="420"/>
              <w:rPr>
                <w:rFonts w:ascii="宋体" w:hAnsi="宋体"/>
                <w:bCs/>
                <w:iCs/>
                <w:szCs w:val="21"/>
              </w:rPr>
            </w:pPr>
            <w:r>
              <w:rPr>
                <w:rFonts w:ascii="宋体" w:hAnsi="宋体" w:hint="eastAsia"/>
                <w:bCs/>
                <w:iCs/>
                <w:szCs w:val="21"/>
              </w:rPr>
              <w:t>电话会议开始部分，由公司董事会秘书王锡林先生简单介绍了公司</w:t>
            </w:r>
            <w:r w:rsidR="00CC3923">
              <w:rPr>
                <w:rFonts w:ascii="宋体" w:hAnsi="宋体" w:hint="eastAsia"/>
                <w:bCs/>
                <w:iCs/>
                <w:szCs w:val="21"/>
              </w:rPr>
              <w:t>第三季度报告中</w:t>
            </w:r>
            <w:r>
              <w:rPr>
                <w:rFonts w:ascii="宋体" w:hAnsi="宋体" w:hint="eastAsia"/>
                <w:bCs/>
                <w:iCs/>
                <w:szCs w:val="21"/>
              </w:rPr>
              <w:t>主要财务数据和经营情况，就公司业绩</w:t>
            </w:r>
            <w:r w:rsidR="00CC3923">
              <w:rPr>
                <w:rFonts w:ascii="宋体" w:hAnsi="宋体" w:hint="eastAsia"/>
                <w:bCs/>
                <w:iCs/>
                <w:szCs w:val="21"/>
              </w:rPr>
              <w:t>变动</w:t>
            </w:r>
            <w:r>
              <w:rPr>
                <w:rFonts w:ascii="宋体" w:hAnsi="宋体" w:hint="eastAsia"/>
                <w:bCs/>
                <w:iCs/>
                <w:szCs w:val="21"/>
              </w:rPr>
              <w:t>的原因向参会人员进行了说明，接下来就市场关心、关注的问题与与会人员进行了互动、沟通，主要</w:t>
            </w:r>
            <w:r w:rsidR="00CC3923">
              <w:rPr>
                <w:rFonts w:ascii="宋体" w:hAnsi="宋体" w:hint="eastAsia"/>
                <w:bCs/>
                <w:iCs/>
                <w:szCs w:val="21"/>
              </w:rPr>
              <w:t>内容如下</w:t>
            </w:r>
            <w:r>
              <w:rPr>
                <w:rFonts w:ascii="宋体" w:hAnsi="宋体" w:hint="eastAsia"/>
                <w:bCs/>
                <w:iCs/>
                <w:szCs w:val="21"/>
              </w:rPr>
              <w:t>：</w:t>
            </w:r>
          </w:p>
          <w:p w:rsidR="005228E4" w:rsidRPr="005228E4" w:rsidRDefault="005228E4" w:rsidP="005228E4">
            <w:pPr>
              <w:spacing w:line="400" w:lineRule="atLeast"/>
              <w:ind w:firstLineChars="200" w:firstLine="422"/>
              <w:rPr>
                <w:rFonts w:ascii="宋体" w:hAnsi="宋体" w:hint="eastAsia"/>
                <w:b/>
                <w:bCs/>
                <w:iCs/>
                <w:szCs w:val="21"/>
              </w:rPr>
            </w:pPr>
            <w:r w:rsidRPr="005228E4">
              <w:rPr>
                <w:rFonts w:ascii="宋体" w:hAnsi="宋体" w:hint="eastAsia"/>
                <w:b/>
                <w:bCs/>
                <w:iCs/>
                <w:szCs w:val="21"/>
              </w:rPr>
              <w:t xml:space="preserve">公司三季报业绩说明: </w:t>
            </w:r>
            <w:r w:rsidRPr="003A78BA">
              <w:rPr>
                <w:rFonts w:ascii="宋体" w:hAnsi="宋体" w:hint="eastAsia"/>
                <w:bCs/>
                <w:iCs/>
                <w:szCs w:val="21"/>
              </w:rPr>
              <w:t>2015年前三季度公司实现销售收入8.72亿元，归</w:t>
            </w:r>
            <w:r>
              <w:rPr>
                <w:rFonts w:ascii="宋体" w:hAnsi="宋体" w:hint="eastAsia"/>
                <w:bCs/>
                <w:iCs/>
                <w:szCs w:val="21"/>
              </w:rPr>
              <w:t>属</w:t>
            </w:r>
            <w:r w:rsidRPr="003A78BA">
              <w:rPr>
                <w:rFonts w:ascii="宋体" w:hAnsi="宋体" w:hint="eastAsia"/>
                <w:bCs/>
                <w:iCs/>
                <w:szCs w:val="21"/>
              </w:rPr>
              <w:t>母</w:t>
            </w:r>
            <w:r>
              <w:rPr>
                <w:rFonts w:ascii="宋体" w:hAnsi="宋体" w:hint="eastAsia"/>
                <w:bCs/>
                <w:iCs/>
                <w:szCs w:val="21"/>
              </w:rPr>
              <w:t>公司</w:t>
            </w:r>
            <w:r w:rsidRPr="003A78BA">
              <w:rPr>
                <w:rFonts w:ascii="宋体" w:hAnsi="宋体" w:hint="eastAsia"/>
                <w:bCs/>
                <w:iCs/>
                <w:szCs w:val="21"/>
              </w:rPr>
              <w:t>净利润1.90亿元，</w:t>
            </w:r>
            <w:proofErr w:type="gramStart"/>
            <w:r w:rsidRPr="003A78BA">
              <w:rPr>
                <w:rFonts w:ascii="宋体" w:hAnsi="宋体" w:hint="eastAsia"/>
                <w:bCs/>
                <w:iCs/>
                <w:szCs w:val="21"/>
              </w:rPr>
              <w:t>扣非后</w:t>
            </w:r>
            <w:proofErr w:type="gramEnd"/>
            <w:r w:rsidRPr="003A78BA">
              <w:rPr>
                <w:rFonts w:ascii="宋体" w:hAnsi="宋体" w:hint="eastAsia"/>
                <w:bCs/>
                <w:iCs/>
                <w:szCs w:val="21"/>
              </w:rPr>
              <w:t>净利润1.63亿元，经营性净现金流1.76亿元，EPS 0.38元。报告期内，公司根据既定的发展战略，坚持内</w:t>
            </w:r>
            <w:proofErr w:type="gramStart"/>
            <w:r w:rsidRPr="003A78BA">
              <w:rPr>
                <w:rFonts w:ascii="宋体" w:hAnsi="宋体" w:hint="eastAsia"/>
                <w:bCs/>
                <w:iCs/>
                <w:szCs w:val="21"/>
              </w:rPr>
              <w:t>生增长</w:t>
            </w:r>
            <w:proofErr w:type="gramEnd"/>
            <w:r w:rsidRPr="003A78BA">
              <w:rPr>
                <w:rFonts w:ascii="宋体" w:hAnsi="宋体" w:hint="eastAsia"/>
                <w:bCs/>
                <w:iCs/>
                <w:szCs w:val="21"/>
              </w:rPr>
              <w:t>+外延扩张的发展战略，进一步专注主业，聚焦优势领域，积极实施外延式扩张战略，投资布局具备国际先进体外诊断试剂及相关技术优势的境外企业，丰富公司产品线，提升技术能级,巩固体外诊断试剂市场龙头地位。具体来看，1）、公司已与外方股东就收购意大利IVD企业TGS 100%股权以及相关诊断业务资产事宜签署了投资备忘录，并决定设立香港全资子公司，积极推进海外并购项目及国际化进程，目前收购项目进展顺利。2）、公司已与康圣环球签署了战略合作框架协议，借助康圣环球在国内第三方医学检验市场的领先地位，通过打包医院检验科、共建区域性检验中心、共建实验室等方式，渐进涉足第三方检验服务领域，拓展新的业务模式，延伸产业链，建立、发挥“试剂+仪器+服务”的集成优势。3）、公司已与上药分销签署战略合作协议，授权其在部分重点省市开展总经销合作，借力上药分销在华东地区龙头分销商的分销渠道和医院终端覆盖优势，提升整体运营效率，拓宽销售渠道，扩充市场占有率；积极寻找共建区域性检验中心的合作机会，提升公司长期投资价值。</w:t>
            </w:r>
            <w:proofErr w:type="gramStart"/>
            <w:r w:rsidRPr="003A78BA">
              <w:rPr>
                <w:rFonts w:ascii="宋体" w:hAnsi="宋体" w:hint="eastAsia"/>
                <w:bCs/>
                <w:iCs/>
                <w:szCs w:val="21"/>
              </w:rPr>
              <w:t>分业务</w:t>
            </w:r>
            <w:proofErr w:type="gramEnd"/>
            <w:r w:rsidRPr="003A78BA">
              <w:rPr>
                <w:rFonts w:ascii="宋体" w:hAnsi="宋体" w:hint="eastAsia"/>
                <w:bCs/>
                <w:iCs/>
                <w:szCs w:val="21"/>
              </w:rPr>
              <w:t>来看，公司国内代理业务继续保持较快增长。试剂和仪器业务受各地招标工作延后影响导致销售下降。目前，部分省市招标工作已在逐步开展，公司将会抓住市场机遇，充分利用渠道及品牌优势，进一步加大业务拓展力度，努力提升销售业绩。出口业务由于受到个别原材料供应商违约影响，收入下降较大。公司已经与相关各方积极沟通并达成一致，抓紧处理工艺变更工作，争取尽快完成相关评估，恢复出口业务良好的增长势头。报告期末，公司十大股东的中央汇金持股823万股,是第三大无限</w:t>
            </w:r>
            <w:proofErr w:type="gramStart"/>
            <w:r w:rsidRPr="003A78BA">
              <w:rPr>
                <w:rFonts w:ascii="宋体" w:hAnsi="宋体" w:hint="eastAsia"/>
                <w:bCs/>
                <w:iCs/>
                <w:szCs w:val="21"/>
              </w:rPr>
              <w:t>售流通</w:t>
            </w:r>
            <w:proofErr w:type="gramEnd"/>
            <w:r w:rsidRPr="003A78BA">
              <w:rPr>
                <w:rFonts w:ascii="宋体" w:hAnsi="宋体" w:hint="eastAsia"/>
                <w:bCs/>
                <w:iCs/>
                <w:szCs w:val="21"/>
              </w:rPr>
              <w:t>股</w:t>
            </w:r>
            <w:r>
              <w:rPr>
                <w:rFonts w:ascii="宋体" w:hAnsi="宋体" w:hint="eastAsia"/>
                <w:bCs/>
                <w:iCs/>
                <w:szCs w:val="21"/>
              </w:rPr>
              <w:t>股东</w:t>
            </w:r>
            <w:r w:rsidRPr="003A78BA">
              <w:rPr>
                <w:rFonts w:ascii="宋体" w:hAnsi="宋体" w:hint="eastAsia"/>
                <w:bCs/>
                <w:iCs/>
                <w:szCs w:val="21"/>
              </w:rPr>
              <w:t>，证金公司通过十家资产管理计划合计持有2960万股,两家合计持股3783万股。</w:t>
            </w:r>
          </w:p>
          <w:p w:rsidR="005228E4" w:rsidRPr="005228E4" w:rsidRDefault="005228E4" w:rsidP="005228E4">
            <w:pPr>
              <w:spacing w:line="400" w:lineRule="atLeast"/>
              <w:ind w:firstLineChars="200" w:firstLine="422"/>
              <w:rPr>
                <w:rFonts w:ascii="宋体" w:hAnsi="宋体"/>
                <w:b/>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关于化学发光业务进展：</w:t>
            </w:r>
            <w:r w:rsidRPr="003A78BA">
              <w:rPr>
                <w:rFonts w:ascii="宋体" w:hAnsi="宋体" w:hint="eastAsia"/>
                <w:bCs/>
                <w:iCs/>
                <w:szCs w:val="21"/>
              </w:rPr>
              <w:t>化学发光业务今年5月</w:t>
            </w:r>
            <w:r>
              <w:rPr>
                <w:rFonts w:ascii="宋体" w:hAnsi="宋体" w:hint="eastAsia"/>
                <w:bCs/>
                <w:iCs/>
                <w:szCs w:val="21"/>
              </w:rPr>
              <w:t>召开新品上市会</w:t>
            </w:r>
            <w:r w:rsidRPr="003A78BA">
              <w:rPr>
                <w:rFonts w:ascii="宋体" w:hAnsi="宋体" w:hint="eastAsia"/>
                <w:bCs/>
                <w:iCs/>
                <w:szCs w:val="21"/>
              </w:rPr>
              <w:lastRenderedPageBreak/>
              <w:t>正式对外发布,目前在全国范围内积极布局，该业务是公司未来发展的重要业务领域。公司会在后续加大开发力度。化学发光行业未来增长空间巨大,公司今明两年的重点是市场的布局,抢占终端市场份额,目前产品已进入十几个省份终端并实现销售,预计明年下半年市场布局达到规模后会有较大的业绩贡献。此外，公司的化学发光仪器是恒速180的，目标是瞄准三级医院高端市场，但考虑到样本量的大小和增长的机会，公司在中短期内将主要在一、二级医院终端推广，局部市场已在三级医院有所突破。</w:t>
            </w:r>
          </w:p>
          <w:p w:rsidR="005228E4" w:rsidRPr="005228E4" w:rsidRDefault="005228E4" w:rsidP="005228E4">
            <w:pPr>
              <w:spacing w:line="400" w:lineRule="atLeast"/>
              <w:ind w:firstLineChars="200" w:firstLine="422"/>
              <w:rPr>
                <w:rFonts w:ascii="宋体" w:hAnsi="宋体"/>
                <w:b/>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关于血</w:t>
            </w:r>
            <w:proofErr w:type="gramStart"/>
            <w:r w:rsidRPr="005228E4">
              <w:rPr>
                <w:rFonts w:ascii="宋体" w:hAnsi="宋体" w:hint="eastAsia"/>
                <w:b/>
                <w:bCs/>
                <w:iCs/>
                <w:szCs w:val="21"/>
              </w:rPr>
              <w:t>筛业务</w:t>
            </w:r>
            <w:proofErr w:type="gramEnd"/>
            <w:r w:rsidRPr="005228E4">
              <w:rPr>
                <w:rFonts w:ascii="宋体" w:hAnsi="宋体" w:hint="eastAsia"/>
                <w:b/>
                <w:bCs/>
                <w:iCs/>
                <w:szCs w:val="21"/>
              </w:rPr>
              <w:t>进展：</w:t>
            </w:r>
            <w:r w:rsidRPr="003A78BA">
              <w:rPr>
                <w:rFonts w:ascii="宋体" w:hAnsi="宋体" w:hint="eastAsia"/>
                <w:bCs/>
                <w:iCs/>
                <w:szCs w:val="21"/>
              </w:rPr>
              <w:t>今年年初国家颁布相关政策促进血</w:t>
            </w:r>
            <w:proofErr w:type="gramStart"/>
            <w:r w:rsidRPr="003A78BA">
              <w:rPr>
                <w:rFonts w:ascii="宋体" w:hAnsi="宋体" w:hint="eastAsia"/>
                <w:bCs/>
                <w:iCs/>
                <w:szCs w:val="21"/>
              </w:rPr>
              <w:t>筛发展</w:t>
            </w:r>
            <w:proofErr w:type="gramEnd"/>
            <w:r w:rsidRPr="003A78BA">
              <w:rPr>
                <w:rFonts w:ascii="宋体" w:hAnsi="宋体" w:hint="eastAsia"/>
                <w:bCs/>
                <w:iCs/>
                <w:szCs w:val="21"/>
              </w:rPr>
              <w:t>,公司对血</w:t>
            </w:r>
            <w:proofErr w:type="gramStart"/>
            <w:r w:rsidRPr="003A78BA">
              <w:rPr>
                <w:rFonts w:ascii="宋体" w:hAnsi="宋体" w:hint="eastAsia"/>
                <w:bCs/>
                <w:iCs/>
                <w:szCs w:val="21"/>
              </w:rPr>
              <w:t>筛市场</w:t>
            </w:r>
            <w:proofErr w:type="gramEnd"/>
            <w:r w:rsidRPr="003A78BA">
              <w:rPr>
                <w:rFonts w:ascii="宋体" w:hAnsi="宋体" w:hint="eastAsia"/>
                <w:bCs/>
                <w:iCs/>
                <w:szCs w:val="21"/>
              </w:rPr>
              <w:t>也有很高的预期,希望借助政策东风实现血</w:t>
            </w:r>
            <w:proofErr w:type="gramStart"/>
            <w:r w:rsidRPr="003A78BA">
              <w:rPr>
                <w:rFonts w:ascii="宋体" w:hAnsi="宋体" w:hint="eastAsia"/>
                <w:bCs/>
                <w:iCs/>
                <w:szCs w:val="21"/>
              </w:rPr>
              <w:t>筛业务</w:t>
            </w:r>
            <w:proofErr w:type="gramEnd"/>
            <w:r w:rsidRPr="003A78BA">
              <w:rPr>
                <w:rFonts w:ascii="宋体" w:hAnsi="宋体" w:hint="eastAsia"/>
                <w:bCs/>
                <w:iCs/>
                <w:szCs w:val="21"/>
              </w:rPr>
              <w:t>的放量。但是后续招标落地实施的过程严重低于市场预期,主要是各地自主决定招标策略的延后,公司产品前三季度受到一定影响。目前来看，各地招标进程在加快，参与主体较多，公司已做好相关准备，争取在各地多中标，多抢占份额。</w:t>
            </w:r>
          </w:p>
          <w:p w:rsidR="005228E4" w:rsidRPr="003A78BA" w:rsidRDefault="005228E4" w:rsidP="003A78BA">
            <w:pPr>
              <w:spacing w:line="400" w:lineRule="atLeast"/>
              <w:ind w:firstLineChars="200" w:firstLine="420"/>
              <w:rPr>
                <w:rFonts w:ascii="宋体" w:hAnsi="宋体"/>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关于收购TGS进展：</w:t>
            </w:r>
            <w:r w:rsidRPr="003A78BA">
              <w:rPr>
                <w:rFonts w:ascii="宋体" w:hAnsi="宋体" w:hint="eastAsia"/>
                <w:bCs/>
                <w:iCs/>
                <w:szCs w:val="21"/>
              </w:rPr>
              <w:t>公司已经与TGS就其核心管理团队，收购完成后的运营和未来发展策略等方面达成共识，交易落地没有问题,目前正在相关法律文件方面与对方做沟通,预计很快就会有结果。TGS公司在化学发光技术方面远远领先国内企业,尤其在TORCH和</w:t>
            </w:r>
            <w:proofErr w:type="gramStart"/>
            <w:r w:rsidRPr="003A78BA">
              <w:rPr>
                <w:rFonts w:ascii="宋体" w:hAnsi="宋体" w:hint="eastAsia"/>
                <w:bCs/>
                <w:iCs/>
                <w:szCs w:val="21"/>
              </w:rPr>
              <w:t>自免</w:t>
            </w:r>
            <w:proofErr w:type="gramEnd"/>
            <w:r w:rsidRPr="003A78BA">
              <w:rPr>
                <w:rFonts w:ascii="宋体" w:hAnsi="宋体" w:hint="eastAsia"/>
                <w:bCs/>
                <w:iCs/>
                <w:szCs w:val="21"/>
              </w:rPr>
              <w:t>系统拥有很</w:t>
            </w:r>
            <w:r w:rsidR="007F0BD8">
              <w:rPr>
                <w:rFonts w:ascii="宋体" w:hAnsi="宋体" w:hint="eastAsia"/>
                <w:bCs/>
                <w:iCs/>
                <w:szCs w:val="21"/>
              </w:rPr>
              <w:t>大</w:t>
            </w:r>
            <w:r>
              <w:rPr>
                <w:rFonts w:ascii="宋体" w:hAnsi="宋体" w:hint="eastAsia"/>
                <w:bCs/>
                <w:iCs/>
                <w:szCs w:val="21"/>
              </w:rPr>
              <w:t>优势</w:t>
            </w:r>
            <w:r w:rsidRPr="003A78BA">
              <w:rPr>
                <w:rFonts w:ascii="宋体" w:hAnsi="宋体" w:hint="eastAsia"/>
                <w:bCs/>
                <w:iCs/>
                <w:szCs w:val="21"/>
              </w:rPr>
              <w:t>，收购后可以为公司未来的技术能级提升，在TORCH和</w:t>
            </w:r>
            <w:proofErr w:type="gramStart"/>
            <w:r w:rsidRPr="003A78BA">
              <w:rPr>
                <w:rFonts w:ascii="宋体" w:hAnsi="宋体" w:hint="eastAsia"/>
                <w:bCs/>
                <w:iCs/>
                <w:szCs w:val="21"/>
              </w:rPr>
              <w:t>自免</w:t>
            </w:r>
            <w:proofErr w:type="gramEnd"/>
            <w:r w:rsidRPr="003A78BA">
              <w:rPr>
                <w:rFonts w:ascii="宋体" w:hAnsi="宋体" w:hint="eastAsia"/>
                <w:bCs/>
                <w:iCs/>
                <w:szCs w:val="21"/>
              </w:rPr>
              <w:t>领域的业务延伸带来重要帮助。</w:t>
            </w:r>
          </w:p>
          <w:p w:rsidR="005228E4" w:rsidRPr="003A78BA" w:rsidRDefault="005228E4" w:rsidP="003A78BA">
            <w:pPr>
              <w:spacing w:line="400" w:lineRule="atLeast"/>
              <w:ind w:firstLineChars="200" w:firstLine="420"/>
              <w:rPr>
                <w:rFonts w:ascii="宋体" w:hAnsi="宋体"/>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关于与康圣环球的合作进展：</w:t>
            </w:r>
            <w:r w:rsidRPr="003A78BA">
              <w:rPr>
                <w:rFonts w:ascii="宋体" w:hAnsi="宋体" w:hint="eastAsia"/>
                <w:bCs/>
                <w:iCs/>
                <w:szCs w:val="21"/>
              </w:rPr>
              <w:t>公司一方面与康圣环球特有</w:t>
            </w:r>
            <w:proofErr w:type="gramStart"/>
            <w:r w:rsidRPr="003A78BA">
              <w:rPr>
                <w:rFonts w:ascii="宋体" w:hAnsi="宋体" w:hint="eastAsia"/>
                <w:bCs/>
                <w:iCs/>
                <w:szCs w:val="21"/>
              </w:rPr>
              <w:t>的独检</w:t>
            </w:r>
            <w:proofErr w:type="gramEnd"/>
            <w:r w:rsidRPr="003A78BA">
              <w:rPr>
                <w:rFonts w:ascii="宋体" w:hAnsi="宋体" w:hint="eastAsia"/>
                <w:bCs/>
                <w:iCs/>
                <w:szCs w:val="21"/>
              </w:rPr>
              <w:t>+特检的检验中心合作, 将公司的研发和产品提供，以及仪器试剂的集成优势与康圣环球已建的检验中心进行接触,如化学发光产品的合作；另一方面探索新的合作渠道和模式，在重点市场发挥协同作用，目前合作进展顺利,争取年底前有进一步的合作成果项目落地。此外在渠道拓展和优化方面，公司与上药分销合作，预计在部分省份项目的开展对明年公司销售业绩的提升带来较大帮助。</w:t>
            </w:r>
          </w:p>
          <w:p w:rsidR="005228E4" w:rsidRPr="003A78BA" w:rsidRDefault="005228E4" w:rsidP="003A78BA">
            <w:pPr>
              <w:spacing w:line="400" w:lineRule="atLeast"/>
              <w:ind w:firstLineChars="200" w:firstLine="420"/>
              <w:rPr>
                <w:rFonts w:ascii="宋体" w:hAnsi="宋体"/>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关于出口业务情况：</w:t>
            </w:r>
            <w:r w:rsidRPr="003A78BA">
              <w:rPr>
                <w:rFonts w:ascii="宋体" w:hAnsi="宋体" w:hint="eastAsia"/>
                <w:bCs/>
                <w:iCs/>
                <w:szCs w:val="21"/>
              </w:rPr>
              <w:t>近两年公司出口业务的增长较快，在国际市场建立了比较好的品牌和口碑，去年WHO的现场验证也顺利通过。今年出现供应商违约带来业务的影响在意料之外,给公司业绩带来阶段</w:t>
            </w:r>
            <w:r w:rsidRPr="003A78BA">
              <w:rPr>
                <w:rFonts w:ascii="宋体" w:hAnsi="宋体" w:hint="eastAsia"/>
                <w:bCs/>
                <w:iCs/>
                <w:szCs w:val="21"/>
              </w:rPr>
              <w:lastRenderedPageBreak/>
              <w:t>性的不利影响,公司已经与WHO进行深入沟通,WHO对供应商因其股东变更导致产品业务的调整已经知晓,WHO和海外客户表示理解，公司目前已经与各方达成一致,公司通过工艺变更对原材料进行调整,只要WHO认定的评估机构认为该变更不影响产品品质,就可以恢复公司在国际市场的销售。目前公司在与WHO认定的评估机构进行紧密合作,并按评估标准提供相关资料和样品。国际市场的终端客户对该事件</w:t>
            </w:r>
            <w:r w:rsidR="00C90738" w:rsidRPr="003A78BA">
              <w:rPr>
                <w:rFonts w:ascii="宋体" w:hAnsi="宋体" w:hint="eastAsia"/>
                <w:bCs/>
                <w:iCs/>
                <w:szCs w:val="21"/>
              </w:rPr>
              <w:t>也</w:t>
            </w:r>
            <w:r w:rsidRPr="003A78BA">
              <w:rPr>
                <w:rFonts w:ascii="宋体" w:hAnsi="宋体" w:hint="eastAsia"/>
                <w:bCs/>
                <w:iCs/>
                <w:szCs w:val="21"/>
              </w:rPr>
              <w:t>给予理解,并对先前的合同采购未</w:t>
            </w:r>
            <w:r w:rsidR="00C90738" w:rsidRPr="003A78BA">
              <w:rPr>
                <w:rFonts w:ascii="宋体" w:hAnsi="宋体" w:hint="eastAsia"/>
                <w:bCs/>
                <w:iCs/>
                <w:szCs w:val="21"/>
              </w:rPr>
              <w:t>进行</w:t>
            </w:r>
            <w:r w:rsidRPr="003A78BA">
              <w:rPr>
                <w:rFonts w:ascii="宋体" w:hAnsi="宋体" w:hint="eastAsia"/>
                <w:bCs/>
                <w:iCs/>
                <w:szCs w:val="21"/>
              </w:rPr>
              <w:t>变更。前三季度出口业务下滑幅度约50%,四季度销售取决于评估进程,预计今年年内最晚明年一季度可以完成评估，我们争取明年出口业务在去年8600万的销售基础上会达到两位数的增长。公司出口业务2014年毛利率近60%。</w:t>
            </w:r>
          </w:p>
          <w:p w:rsidR="005228E4" w:rsidRPr="005228E4" w:rsidRDefault="005228E4" w:rsidP="005228E4">
            <w:pPr>
              <w:spacing w:line="400" w:lineRule="atLeast"/>
              <w:ind w:firstLineChars="200" w:firstLine="422"/>
              <w:rPr>
                <w:rFonts w:ascii="宋体" w:hAnsi="宋体"/>
                <w:b/>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关于管理销售团队整合情况：</w:t>
            </w:r>
            <w:r w:rsidRPr="003A78BA">
              <w:rPr>
                <w:rFonts w:ascii="宋体" w:hAnsi="宋体" w:hint="eastAsia"/>
                <w:bCs/>
                <w:iCs/>
                <w:szCs w:val="21"/>
              </w:rPr>
              <w:t>管理团队方面，公司新近邀请何建文博士担任副总,分管市场、战略发展和商务拓展工作，有利于公司内生和外延的发展。销售团队方面，公司渠道部、业务发展部和大客户部</w:t>
            </w:r>
            <w:proofErr w:type="gramStart"/>
            <w:r w:rsidRPr="003A78BA">
              <w:rPr>
                <w:rFonts w:ascii="宋体" w:hAnsi="宋体" w:hint="eastAsia"/>
                <w:bCs/>
                <w:iCs/>
                <w:szCs w:val="21"/>
              </w:rPr>
              <w:t>整合成效</w:t>
            </w:r>
            <w:proofErr w:type="gramEnd"/>
            <w:r w:rsidRPr="003A78BA">
              <w:rPr>
                <w:rFonts w:ascii="宋体" w:hAnsi="宋体" w:hint="eastAsia"/>
                <w:bCs/>
                <w:iCs/>
                <w:szCs w:val="21"/>
              </w:rPr>
              <w:t>明显，其中与上药分销的合作，是基于行业对冷链监管的要求不断提升和强化，与更专业和规模化的大型经销商合作非常有必要（公司先前具备自有的物流冷</w:t>
            </w:r>
            <w:proofErr w:type="gramStart"/>
            <w:r w:rsidRPr="003A78BA">
              <w:rPr>
                <w:rFonts w:ascii="宋体" w:hAnsi="宋体" w:hint="eastAsia"/>
                <w:bCs/>
                <w:iCs/>
                <w:szCs w:val="21"/>
              </w:rPr>
              <w:t>链运输</w:t>
            </w:r>
            <w:proofErr w:type="gramEnd"/>
            <w:r w:rsidRPr="003A78BA">
              <w:rPr>
                <w:rFonts w:ascii="宋体" w:hAnsi="宋体" w:hint="eastAsia"/>
                <w:bCs/>
                <w:iCs/>
                <w:szCs w:val="21"/>
              </w:rPr>
              <w:t>团队），强化终端的覆盖和渗透对公司与现有经销商的合作没有影响。</w:t>
            </w:r>
          </w:p>
          <w:p w:rsidR="005228E4" w:rsidRPr="005228E4" w:rsidRDefault="005228E4" w:rsidP="005228E4">
            <w:pPr>
              <w:spacing w:line="400" w:lineRule="atLeast"/>
              <w:ind w:firstLineChars="200" w:firstLine="422"/>
              <w:rPr>
                <w:rFonts w:ascii="宋体" w:hAnsi="宋体"/>
                <w:b/>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关于期间费用率：</w:t>
            </w:r>
            <w:r w:rsidRPr="003A78BA">
              <w:rPr>
                <w:rFonts w:ascii="宋体" w:hAnsi="宋体" w:hint="eastAsia"/>
                <w:bCs/>
                <w:iCs/>
                <w:szCs w:val="21"/>
              </w:rPr>
              <w:t xml:space="preserve">公司前三季度期间费用率有所上升，主要是公司加大渠道销售，投放力度加大，固定资产折旧有所增加；GSP冷链运输费用增加；销售激励政策的优化等因素所致，整体来看费用率在行业内属于偏低水平。 </w:t>
            </w:r>
          </w:p>
          <w:p w:rsidR="005228E4" w:rsidRPr="003A78BA" w:rsidRDefault="005228E4" w:rsidP="003A78BA">
            <w:pPr>
              <w:spacing w:line="400" w:lineRule="atLeast"/>
              <w:ind w:firstLineChars="200" w:firstLine="420"/>
              <w:rPr>
                <w:rFonts w:ascii="宋体" w:hAnsi="宋体"/>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关于国内业务面临的挑战：</w:t>
            </w:r>
            <w:r w:rsidRPr="003A78BA">
              <w:rPr>
                <w:rFonts w:ascii="宋体" w:hAnsi="宋体" w:hint="eastAsia"/>
                <w:bCs/>
                <w:iCs/>
                <w:szCs w:val="21"/>
              </w:rPr>
              <w:t>第一，从外部环境来看，目前国内竞争和营销结构发生变化，产品结构同质化越来越明显，公司未来将强化产品集成的优势，强化在免疫、核酸和化学发光重点产品上的突出，寻找差异化的产品和服务解决方案；第二，从内部来看，公司近年在渠道和终端的布局和拓展方面相对稳健，近期公司加大了渠道和终端的整合和拓展，比如在化学发光、自产仪器的市场策略等方面做了较多调整，在部分试点市场仪器的销售增长明显改善，仪器的增长必然会推动试剂销售的增长。考虑到公司产品拥有研发、质量和口碑的支撑以及海外市场的认可，未来公司将瞄准高端市场，更加积极地推进“仪器、试剂、服务”三位一体的优势，第三季度在局部市场销售已</w:t>
            </w:r>
            <w:r w:rsidRPr="003A78BA">
              <w:rPr>
                <w:rFonts w:ascii="宋体" w:hAnsi="宋体" w:hint="eastAsia"/>
                <w:bCs/>
                <w:iCs/>
                <w:szCs w:val="21"/>
              </w:rPr>
              <w:lastRenderedPageBreak/>
              <w:t>经有明显改善，预计2016年公司将继续扩大和推动这些改善措施。此外，公司已经在部分省份开始实施自产试剂与平台的合作，效果正在逐步显现。</w:t>
            </w:r>
          </w:p>
          <w:p w:rsidR="005228E4" w:rsidRPr="005228E4" w:rsidRDefault="005228E4" w:rsidP="005228E4">
            <w:pPr>
              <w:spacing w:line="400" w:lineRule="atLeast"/>
              <w:ind w:firstLineChars="200" w:firstLine="422"/>
              <w:rPr>
                <w:rFonts w:ascii="宋体" w:hAnsi="宋体"/>
                <w:b/>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关于公司渠道和终端的布局和进展：</w:t>
            </w:r>
            <w:r w:rsidRPr="003A78BA">
              <w:rPr>
                <w:rFonts w:ascii="宋体" w:hAnsi="宋体" w:hint="eastAsia"/>
                <w:bCs/>
                <w:iCs/>
                <w:szCs w:val="21"/>
              </w:rPr>
              <w:t>公司在渠道方面力求提高效率和专业性（与上药分销合作），在终端方面借助与平台商的合作提高终端的渗透率和覆盖率（与康圣环球合作）。比如在与康圣环球的合作上，公司分子诊断核酸业务可以与其特检进行合作，其他诸如化学发光、免疫和</w:t>
            </w:r>
            <w:proofErr w:type="gramStart"/>
            <w:r w:rsidRPr="003A78BA">
              <w:rPr>
                <w:rFonts w:ascii="宋体" w:hAnsi="宋体" w:hint="eastAsia"/>
                <w:bCs/>
                <w:iCs/>
                <w:szCs w:val="21"/>
              </w:rPr>
              <w:t>生化均</w:t>
            </w:r>
            <w:proofErr w:type="gramEnd"/>
            <w:r w:rsidRPr="003A78BA">
              <w:rPr>
                <w:rFonts w:ascii="宋体" w:hAnsi="宋体" w:hint="eastAsia"/>
                <w:bCs/>
                <w:iCs/>
                <w:szCs w:val="21"/>
              </w:rPr>
              <w:t>可以跟进合作，同时既包括自产产品，也包括新引进的仪器和试剂，公司将利用产品集成的优势，在关键市场与核心战略合作伙伴推进业务进展，强化终端的渗透。此外，公司未来将借助现有的希森美康和梅里埃代理业务</w:t>
            </w:r>
            <w:r w:rsidR="00C90738" w:rsidRPr="00793048">
              <w:rPr>
                <w:rFonts w:ascii="宋体" w:hAnsi="宋体" w:hint="eastAsia"/>
                <w:bCs/>
                <w:iCs/>
                <w:szCs w:val="21"/>
              </w:rPr>
              <w:t>的</w:t>
            </w:r>
            <w:r w:rsidRPr="003A78BA">
              <w:rPr>
                <w:rFonts w:ascii="宋体" w:hAnsi="宋体" w:hint="eastAsia"/>
                <w:bCs/>
                <w:iCs/>
                <w:szCs w:val="21"/>
              </w:rPr>
              <w:t>高端渠道资源，推进核酸等自有业务在三甲医院的覆盖，并在全新市场与当地经销商进行新的合作模式探索，目前已经有所进展，试点成功后将在全国范围内推开。</w:t>
            </w:r>
          </w:p>
          <w:p w:rsidR="005228E4" w:rsidRPr="003A78BA" w:rsidRDefault="005228E4" w:rsidP="003A78BA">
            <w:pPr>
              <w:spacing w:line="400" w:lineRule="atLeast"/>
              <w:ind w:firstLineChars="200" w:firstLine="420"/>
              <w:rPr>
                <w:rFonts w:ascii="宋体" w:hAnsi="宋体"/>
                <w:bCs/>
                <w:iCs/>
                <w:szCs w:val="21"/>
              </w:rPr>
            </w:pPr>
          </w:p>
          <w:p w:rsidR="005228E4" w:rsidRPr="003A78BA" w:rsidRDefault="005228E4" w:rsidP="005228E4">
            <w:pPr>
              <w:spacing w:line="400" w:lineRule="atLeast"/>
              <w:ind w:firstLineChars="200" w:firstLine="422"/>
              <w:rPr>
                <w:rFonts w:ascii="宋体" w:hAnsi="宋体" w:hint="eastAsia"/>
                <w:bCs/>
                <w:iCs/>
                <w:szCs w:val="21"/>
              </w:rPr>
            </w:pPr>
            <w:r w:rsidRPr="005228E4">
              <w:rPr>
                <w:rFonts w:ascii="宋体" w:hAnsi="宋体" w:hint="eastAsia"/>
                <w:b/>
                <w:bCs/>
                <w:iCs/>
                <w:szCs w:val="21"/>
              </w:rPr>
              <w:t>关于外延并购和海外业务的预期：</w:t>
            </w:r>
            <w:r w:rsidRPr="003A78BA">
              <w:rPr>
                <w:rFonts w:ascii="宋体" w:hAnsi="宋体" w:hint="eastAsia"/>
                <w:bCs/>
                <w:iCs/>
                <w:szCs w:val="21"/>
              </w:rPr>
              <w:t>公司并购TGS只是开端，但公司长远目标不只是引入产品，而是在海外建立完整的运营体系，包括海外市场的研发、生产和销售。另一方面，何建文博士拥有丰富的海外研发和运营背景，将有助于公司立足国内，扩大国际视野。</w:t>
            </w:r>
            <w:proofErr w:type="gramStart"/>
            <w:r w:rsidRPr="003A78BA">
              <w:rPr>
                <w:rFonts w:ascii="宋体" w:hAnsi="宋体" w:hint="eastAsia"/>
                <w:bCs/>
                <w:iCs/>
                <w:szCs w:val="21"/>
              </w:rPr>
              <w:t>公司愿景是</w:t>
            </w:r>
            <w:proofErr w:type="gramEnd"/>
            <w:r w:rsidRPr="003A78BA">
              <w:rPr>
                <w:rFonts w:ascii="宋体" w:hAnsi="宋体" w:hint="eastAsia"/>
                <w:bCs/>
                <w:iCs/>
                <w:szCs w:val="21"/>
              </w:rPr>
              <w:t>在2020年成为具备国际业务知名度的IVD龙头企业，同时在细分市场拥有专业深度和重要影响力。</w:t>
            </w:r>
          </w:p>
          <w:p w:rsidR="005228E4" w:rsidRPr="005228E4" w:rsidRDefault="005228E4" w:rsidP="005228E4">
            <w:pPr>
              <w:spacing w:line="400" w:lineRule="atLeast"/>
              <w:ind w:firstLineChars="200" w:firstLine="422"/>
              <w:rPr>
                <w:rFonts w:ascii="宋体" w:hAnsi="宋体"/>
                <w:b/>
                <w:bCs/>
                <w:iCs/>
                <w:szCs w:val="21"/>
              </w:rPr>
            </w:pPr>
          </w:p>
          <w:p w:rsidR="00355FA2" w:rsidRPr="006D390A" w:rsidRDefault="005228E4" w:rsidP="005228E4">
            <w:pPr>
              <w:spacing w:line="400" w:lineRule="atLeast"/>
              <w:ind w:firstLineChars="200" w:firstLine="422"/>
              <w:rPr>
                <w:rFonts w:ascii="宋体" w:hAnsi="宋体"/>
                <w:bCs/>
                <w:iCs/>
                <w:szCs w:val="21"/>
              </w:rPr>
            </w:pPr>
            <w:r w:rsidRPr="005228E4">
              <w:rPr>
                <w:rFonts w:ascii="宋体" w:hAnsi="宋体" w:hint="eastAsia"/>
                <w:b/>
                <w:bCs/>
                <w:iCs/>
                <w:szCs w:val="21"/>
              </w:rPr>
              <w:t>关于公司的优势和困难：</w:t>
            </w:r>
            <w:r w:rsidRPr="003A78BA">
              <w:rPr>
                <w:rFonts w:ascii="宋体" w:hAnsi="宋体" w:hint="eastAsia"/>
                <w:bCs/>
                <w:iCs/>
                <w:szCs w:val="21"/>
              </w:rPr>
              <w:t>公司的优势是经过30多年的专注主业经营发展，在IVD领域已经建立并得到巩固的市场口碑、渠道资源、人才团队和技术研发专业深度等综合性优势，公司在IVD领域中产品线最全，集成优势最明显。</w:t>
            </w:r>
            <w:r w:rsidR="003A78BA">
              <w:rPr>
                <w:rFonts w:ascii="宋体" w:hAnsi="宋体" w:hint="eastAsia"/>
                <w:bCs/>
                <w:iCs/>
                <w:szCs w:val="21"/>
              </w:rPr>
              <w:t>而且</w:t>
            </w:r>
            <w:r w:rsidRPr="003A78BA">
              <w:rPr>
                <w:rFonts w:ascii="宋体" w:hAnsi="宋体" w:hint="eastAsia"/>
                <w:bCs/>
                <w:iCs/>
                <w:szCs w:val="21"/>
              </w:rPr>
              <w:t>在三季报中大家可以看到，公司的经营性现金流量净额超过</w:t>
            </w:r>
            <w:proofErr w:type="gramStart"/>
            <w:r w:rsidRPr="003A78BA">
              <w:rPr>
                <w:rFonts w:ascii="宋体" w:hAnsi="宋体" w:hint="eastAsia"/>
                <w:bCs/>
                <w:iCs/>
                <w:szCs w:val="21"/>
              </w:rPr>
              <w:t>了扣非后</w:t>
            </w:r>
            <w:proofErr w:type="gramEnd"/>
            <w:r w:rsidRPr="003A78BA">
              <w:rPr>
                <w:rFonts w:ascii="宋体" w:hAnsi="宋体" w:hint="eastAsia"/>
                <w:bCs/>
                <w:iCs/>
                <w:szCs w:val="21"/>
              </w:rPr>
              <w:t>的净利润水平，这也充分说明了公司经营质量是安全的，公司对应收账款控制是稳健的；资产负债率不到10%，财务风险得到很好的控制，未来经营规模扩张和业绩提升空间很大。尤其在公司引进方源资本，高管团队补充优化之后，公司加大了并购扩张和国际化战略的投入；同时在经营策略上延伸产业链，在仪器+试剂的业务基础上，渐进进入医疗服务领域，逐步建立巩固仪器+试剂+服务的业务模式，提高经营附加值；更加积极地拓展渠道和终端，提高市场占有率。总体来看，公司现金充裕，未来发展空间很大。今年</w:t>
            </w:r>
            <w:r w:rsidRPr="003A78BA">
              <w:rPr>
                <w:rFonts w:ascii="宋体" w:hAnsi="宋体" w:hint="eastAsia"/>
                <w:bCs/>
                <w:iCs/>
                <w:szCs w:val="21"/>
              </w:rPr>
              <w:lastRenderedPageBreak/>
              <w:t>由于受到个别供应商违约等外部因素造成阶段性业绩下滑，今年的业绩将是一个低点，明年在出口恢复的基础上有望重新回到稳定较快的增长轨道上来。</w:t>
            </w:r>
          </w:p>
        </w:tc>
      </w:tr>
      <w:tr w:rsidR="00355FA2" w:rsidRPr="00F7661A" w:rsidTr="003F1135">
        <w:tc>
          <w:tcPr>
            <w:tcW w:w="1908" w:type="dxa"/>
            <w:shd w:val="clear" w:color="auto" w:fill="auto"/>
            <w:vAlign w:val="center"/>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lastRenderedPageBreak/>
              <w:t>日期</w:t>
            </w:r>
          </w:p>
        </w:tc>
        <w:tc>
          <w:tcPr>
            <w:tcW w:w="6614" w:type="dxa"/>
            <w:shd w:val="clear" w:color="auto" w:fill="auto"/>
          </w:tcPr>
          <w:p w:rsidR="00355FA2" w:rsidRPr="00F7661A" w:rsidRDefault="004352F3" w:rsidP="00AC373F">
            <w:pPr>
              <w:spacing w:line="480" w:lineRule="atLeast"/>
              <w:rPr>
                <w:rFonts w:ascii="宋体" w:hAnsi="宋体"/>
                <w:bCs/>
                <w:iCs/>
                <w:sz w:val="24"/>
                <w:szCs w:val="24"/>
              </w:rPr>
            </w:pPr>
            <w:r>
              <w:rPr>
                <w:rFonts w:ascii="宋体" w:hAnsi="宋体" w:hint="eastAsia"/>
                <w:bCs/>
                <w:iCs/>
                <w:sz w:val="24"/>
                <w:szCs w:val="24"/>
              </w:rPr>
              <w:t>2015年</w:t>
            </w:r>
            <w:r w:rsidR="003A78BA">
              <w:rPr>
                <w:rFonts w:ascii="宋体" w:hAnsi="宋体" w:hint="eastAsia"/>
                <w:bCs/>
                <w:iCs/>
                <w:sz w:val="24"/>
                <w:szCs w:val="24"/>
              </w:rPr>
              <w:t>11</w:t>
            </w:r>
            <w:r>
              <w:rPr>
                <w:rFonts w:ascii="宋体" w:hAnsi="宋体" w:hint="eastAsia"/>
                <w:bCs/>
                <w:iCs/>
                <w:sz w:val="24"/>
                <w:szCs w:val="24"/>
              </w:rPr>
              <w:t>月</w:t>
            </w:r>
            <w:r w:rsidR="003A78BA">
              <w:rPr>
                <w:rFonts w:ascii="宋体" w:hAnsi="宋体" w:hint="eastAsia"/>
                <w:bCs/>
                <w:iCs/>
                <w:sz w:val="24"/>
                <w:szCs w:val="24"/>
              </w:rPr>
              <w:t>2</w:t>
            </w:r>
            <w:bookmarkStart w:id="0" w:name="_GoBack"/>
            <w:bookmarkEnd w:id="0"/>
            <w:r>
              <w:rPr>
                <w:rFonts w:ascii="宋体" w:hAnsi="宋体" w:hint="eastAsia"/>
                <w:bCs/>
                <w:iCs/>
                <w:sz w:val="24"/>
                <w:szCs w:val="24"/>
              </w:rPr>
              <w:t>日</w:t>
            </w:r>
          </w:p>
        </w:tc>
      </w:tr>
      <w:tr w:rsidR="00FB19C0" w:rsidRPr="00F7661A" w:rsidTr="003F1135">
        <w:tc>
          <w:tcPr>
            <w:tcW w:w="1908" w:type="dxa"/>
            <w:shd w:val="clear" w:color="auto" w:fill="auto"/>
            <w:vAlign w:val="center"/>
          </w:tcPr>
          <w:p w:rsidR="00FB19C0" w:rsidRPr="00F7661A" w:rsidRDefault="00FB19C0" w:rsidP="003F1135">
            <w:pPr>
              <w:spacing w:line="480" w:lineRule="atLeast"/>
              <w:rPr>
                <w:rFonts w:ascii="宋体" w:hAnsi="宋体"/>
                <w:b/>
                <w:bCs/>
                <w:iCs/>
                <w:sz w:val="24"/>
                <w:szCs w:val="24"/>
              </w:rPr>
            </w:pPr>
          </w:p>
        </w:tc>
        <w:tc>
          <w:tcPr>
            <w:tcW w:w="6614" w:type="dxa"/>
            <w:shd w:val="clear" w:color="auto" w:fill="auto"/>
          </w:tcPr>
          <w:p w:rsidR="00FB19C0" w:rsidRPr="00FB19C0" w:rsidRDefault="00FB19C0" w:rsidP="00FB19C0">
            <w:pPr>
              <w:spacing w:line="400" w:lineRule="atLeast"/>
              <w:rPr>
                <w:rFonts w:ascii="宋体" w:hAnsi="宋体"/>
                <w:bCs/>
                <w:iCs/>
                <w:szCs w:val="21"/>
              </w:rPr>
            </w:pPr>
          </w:p>
        </w:tc>
      </w:tr>
    </w:tbl>
    <w:p w:rsidR="00355FA2" w:rsidRDefault="00355FA2" w:rsidP="00355FA2">
      <w:pPr>
        <w:ind w:firstLineChars="200" w:firstLine="480"/>
        <w:rPr>
          <w:sz w:val="24"/>
          <w:szCs w:val="24"/>
        </w:rPr>
      </w:pPr>
    </w:p>
    <w:p w:rsidR="002E2826" w:rsidRDefault="008760C1" w:rsidP="002544AB">
      <w:pPr>
        <w:widowControl/>
        <w:jc w:val="left"/>
      </w:pPr>
    </w:p>
    <w:sectPr w:rsidR="002E2826"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C1" w:rsidRDefault="008760C1" w:rsidP="00CC0AE1">
      <w:r>
        <w:separator/>
      </w:r>
    </w:p>
  </w:endnote>
  <w:endnote w:type="continuationSeparator" w:id="0">
    <w:p w:rsidR="008760C1" w:rsidRDefault="008760C1"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C1" w:rsidRDefault="008760C1" w:rsidP="00CC0AE1">
      <w:r>
        <w:separator/>
      </w:r>
    </w:p>
  </w:footnote>
  <w:footnote w:type="continuationSeparator" w:id="0">
    <w:p w:rsidR="008760C1" w:rsidRDefault="008760C1" w:rsidP="00CC0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10A44"/>
    <w:rsid w:val="00020F06"/>
    <w:rsid w:val="0013140E"/>
    <w:rsid w:val="00162F99"/>
    <w:rsid w:val="001C2B7D"/>
    <w:rsid w:val="001E6152"/>
    <w:rsid w:val="002529F1"/>
    <w:rsid w:val="002544AB"/>
    <w:rsid w:val="002575C1"/>
    <w:rsid w:val="002619E5"/>
    <w:rsid w:val="002C040D"/>
    <w:rsid w:val="00355FA2"/>
    <w:rsid w:val="00371018"/>
    <w:rsid w:val="003A78BA"/>
    <w:rsid w:val="004352F3"/>
    <w:rsid w:val="004C0768"/>
    <w:rsid w:val="0050590F"/>
    <w:rsid w:val="005228E4"/>
    <w:rsid w:val="005317DC"/>
    <w:rsid w:val="0061167A"/>
    <w:rsid w:val="00613DAB"/>
    <w:rsid w:val="00627CC2"/>
    <w:rsid w:val="00633EA3"/>
    <w:rsid w:val="0063448D"/>
    <w:rsid w:val="006A5121"/>
    <w:rsid w:val="006D390A"/>
    <w:rsid w:val="006F5716"/>
    <w:rsid w:val="007130D2"/>
    <w:rsid w:val="007F0BD8"/>
    <w:rsid w:val="00853046"/>
    <w:rsid w:val="00861F75"/>
    <w:rsid w:val="008760C1"/>
    <w:rsid w:val="008E2EAF"/>
    <w:rsid w:val="00921F2B"/>
    <w:rsid w:val="00925C3C"/>
    <w:rsid w:val="009D150E"/>
    <w:rsid w:val="00A04304"/>
    <w:rsid w:val="00A9258C"/>
    <w:rsid w:val="00A97F79"/>
    <w:rsid w:val="00AC373F"/>
    <w:rsid w:val="00B3178C"/>
    <w:rsid w:val="00B729E8"/>
    <w:rsid w:val="00B7449E"/>
    <w:rsid w:val="00BB5BC4"/>
    <w:rsid w:val="00BE4D9E"/>
    <w:rsid w:val="00C109DF"/>
    <w:rsid w:val="00C90738"/>
    <w:rsid w:val="00CA4BF2"/>
    <w:rsid w:val="00CC0AE1"/>
    <w:rsid w:val="00CC3923"/>
    <w:rsid w:val="00D15129"/>
    <w:rsid w:val="00DC6E57"/>
    <w:rsid w:val="00E22622"/>
    <w:rsid w:val="00F049EB"/>
    <w:rsid w:val="00F472B3"/>
    <w:rsid w:val="00FB1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699</Words>
  <Characters>3990</Characters>
  <Application>Microsoft Office Word</Application>
  <DocSecurity>0</DocSecurity>
  <Lines>33</Lines>
  <Paragraphs>9</Paragraphs>
  <ScaleCrop>false</ScaleCrop>
  <Company>SKHB</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SAGA</cp:lastModifiedBy>
  <cp:revision>3</cp:revision>
  <dcterms:created xsi:type="dcterms:W3CDTF">2015-11-02T05:28:00Z</dcterms:created>
  <dcterms:modified xsi:type="dcterms:W3CDTF">2015-11-02T06:49:00Z</dcterms:modified>
</cp:coreProperties>
</file>